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D20" w14:textId="77777777" w:rsidR="00FA35A8" w:rsidRPr="00486F6E" w:rsidRDefault="00FA35A8">
      <w:pPr>
        <w:rPr>
          <w:rFonts w:ascii="Times New Roman" w:hAnsi="Times New Roman"/>
        </w:rPr>
      </w:pPr>
    </w:p>
    <w:p w14:paraId="014D99B7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  <w:r w:rsidRPr="00486F6E">
        <w:rPr>
          <w:rFonts w:ascii="Times New Roman" w:hAnsi="Times New Roman"/>
        </w:rPr>
        <w:t xml:space="preserve">СТАНДАРД 6: КВАЛИТЕТ НАУЧНОИСТРАЖИВАЧКОГ, УМЕТНИЧКОГ И СТРУЧНОГ РАДА </w:t>
      </w:r>
    </w:p>
    <w:p w14:paraId="190EA0BA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6138CF98" w14:textId="77777777" w:rsidR="00FA35A8" w:rsidRPr="00486F6E" w:rsidRDefault="00FA35A8" w:rsidP="00FA35A8">
      <w:pPr>
        <w:spacing w:after="120" w:line="240" w:lineRule="auto"/>
        <w:rPr>
          <w:rFonts w:ascii="Times New Roman" w:hAnsi="Times New Roman"/>
        </w:rPr>
      </w:pPr>
      <w:r w:rsidRPr="00486F6E">
        <w:rPr>
          <w:rFonts w:ascii="Times New Roman" w:hAnsi="Times New Roman"/>
          <w:b/>
          <w:lang w:val="en-US"/>
        </w:rPr>
        <w:t>Табела 6.1.</w:t>
      </w:r>
      <w:r w:rsidRPr="00486F6E">
        <w:rPr>
          <w:rFonts w:ascii="Times New Roman" w:hAnsi="Times New Roman"/>
        </w:rPr>
        <w:t xml:space="preserve"> Назив и број  текућих научноистраживачких/уметничких   пројеката чији  су  руководиоци  наставници  стално запослени у високошколској установи.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5"/>
        <w:gridCol w:w="3054"/>
        <w:gridCol w:w="1959"/>
        <w:gridCol w:w="1584"/>
        <w:gridCol w:w="1717"/>
      </w:tblGrid>
      <w:tr w:rsidR="00FA35A8" w:rsidRPr="00486F6E" w14:paraId="6F9C9675" w14:textId="77777777" w:rsidTr="00B8762C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B80DF42" w14:textId="77777777" w:rsidR="00FA35A8" w:rsidRPr="00486F6E" w:rsidRDefault="00FA35A8" w:rsidP="00B8762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7A01D1D2" w14:textId="77777777" w:rsidR="00FA35A8" w:rsidRPr="00486F6E" w:rsidRDefault="00FA35A8" w:rsidP="00B8762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2DB663E" w14:textId="77777777" w:rsidR="00FA35A8" w:rsidRPr="00486F6E" w:rsidRDefault="00FA35A8" w:rsidP="00B8762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Назив и евиденциони број пројекта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5EE233B" w14:textId="77777777" w:rsidR="00FA35A8" w:rsidRPr="00486F6E" w:rsidRDefault="00FA35A8" w:rsidP="00B8762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Домаћи (Д) и међународни (М)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BCA4595" w14:textId="77777777" w:rsidR="00FA35A8" w:rsidRPr="00486F6E" w:rsidRDefault="00FA35A8" w:rsidP="00B8762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Назив финансијера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DC32FA" w14:textId="77777777" w:rsidR="00FA35A8" w:rsidRPr="00486F6E" w:rsidRDefault="00FA35A8" w:rsidP="00B8762C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Број учесника на пројекту</w:t>
            </w:r>
          </w:p>
        </w:tc>
      </w:tr>
      <w:tr w:rsidR="008C2ACF" w:rsidRPr="00486F6E" w14:paraId="0144A36D" w14:textId="77777777" w:rsidTr="00F55256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44E716" w14:textId="77777777" w:rsidR="008C2ACF" w:rsidRPr="00486F6E" w:rsidRDefault="008C2ACF" w:rsidP="008C2AC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621614" w14:textId="40B5109F" w:rsidR="008C2ACF" w:rsidRPr="00486F6E" w:rsidRDefault="00E60685" w:rsidP="00E60685">
            <w:pPr>
              <w:jc w:val="center"/>
              <w:rPr>
                <w:rFonts w:ascii="Times New Roman" w:eastAsia="Times New Roman" w:hAnsi="Times New Roman"/>
              </w:rPr>
            </w:pPr>
            <w:r w:rsidRPr="00486F6E">
              <w:rPr>
                <w:rFonts w:ascii="Times New Roman" w:hAnsi="Times New Roman"/>
              </w:rPr>
              <w:t>451-03-47/2023-01/ 200110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F5C400" w14:textId="77777777" w:rsidR="008C2ACF" w:rsidRPr="00486F6E" w:rsidRDefault="00D84A04" w:rsidP="00E606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6CF975" w14:textId="0D71EFA6" w:rsidR="008C2ACF" w:rsidRPr="00486F6E" w:rsidRDefault="00C00FFF" w:rsidP="00E60685">
            <w:pPr>
              <w:jc w:val="center"/>
              <w:rPr>
                <w:rFonts w:ascii="Times New Roman" w:eastAsia="MS Mincho" w:hAnsi="Times New Roman"/>
              </w:rPr>
            </w:pPr>
            <w:r w:rsidRPr="00486F6E">
              <w:rPr>
                <w:rFonts w:ascii="Times New Roman" w:eastAsia="MS Mincho" w:hAnsi="Times New Roman"/>
              </w:rPr>
              <w:t>МНТР</w:t>
            </w:r>
            <w:r w:rsidR="00E60685" w:rsidRPr="00486F6E">
              <w:rPr>
                <w:rFonts w:ascii="Times New Roman" w:eastAsia="MS Mincho" w:hAnsi="Times New Roman"/>
                <w:lang w:val="sr-Cyrl-RS"/>
              </w:rPr>
              <w:t>И</w:t>
            </w:r>
            <w:r w:rsidRPr="00486F6E">
              <w:rPr>
                <w:rFonts w:ascii="Times New Roman" w:eastAsia="MS Mincho" w:hAnsi="Times New Roman"/>
              </w:rPr>
              <w:t xml:space="preserve"> РС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52AAE5F4" w14:textId="2D63C5F2" w:rsidR="008C2ACF" w:rsidRPr="00486F6E" w:rsidRDefault="00E60685" w:rsidP="00E6068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 w:rsidRPr="00486F6E">
              <w:rPr>
                <w:rFonts w:ascii="Times New Roman" w:eastAsia="MS Mincho" w:hAnsi="Times New Roman"/>
                <w:lang w:val="sr-Latn-RS"/>
              </w:rPr>
              <w:t>784</w:t>
            </w:r>
          </w:p>
        </w:tc>
      </w:tr>
      <w:tr w:rsidR="00E803BB" w:rsidRPr="00486F6E" w14:paraId="43F4A6A7" w14:textId="77777777" w:rsidTr="0047358E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3E41A6" w14:textId="77777777" w:rsidR="00E803BB" w:rsidRPr="00486F6E" w:rsidRDefault="00E803BB" w:rsidP="00E80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6947DD" w14:textId="5F2B3A54" w:rsidR="00E803BB" w:rsidRPr="00486F6E" w:rsidRDefault="00E803BB" w:rsidP="00E803BB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The role of antioxidant and ACE2 genetic profile in risk stratification and mid-term prognosis of COVID-19 patients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7546803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F69DF6" w14:textId="7B475516" w:rsidR="00E803BB" w:rsidRPr="00486F6E" w:rsidRDefault="00E803BB" w:rsidP="00E803BB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16B471" w14:textId="0E16728F" w:rsidR="00E803BB" w:rsidRPr="00486F6E" w:rsidRDefault="00E803BB" w:rsidP="00E803BB">
            <w:pPr>
              <w:rPr>
                <w:rFonts w:ascii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3715373B" w14:textId="7662F9FB" w:rsidR="00E803BB" w:rsidRPr="009C23F2" w:rsidRDefault="009C23F2" w:rsidP="00E803B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</w:tr>
      <w:tr w:rsidR="00101D3D" w:rsidRPr="00486F6E" w14:paraId="4240D963" w14:textId="77777777" w:rsidTr="0047358E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AA34CE" w14:textId="77777777" w:rsidR="00101D3D" w:rsidRPr="00486F6E" w:rsidRDefault="00101D3D" w:rsidP="00101D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B87808" w14:textId="73447D25" w:rsidR="00101D3D" w:rsidRPr="00486F6E" w:rsidRDefault="00101D3D" w:rsidP="00101D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National survey of mental health after COVID-19 pandemic: Multilevel analysis of individual and societal factors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7528289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E1C9C3" w14:textId="7A981584" w:rsidR="00101D3D" w:rsidRPr="00486F6E" w:rsidRDefault="00101D3D" w:rsidP="00101D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06053F" w14:textId="57915996" w:rsidR="00101D3D" w:rsidRPr="00486F6E" w:rsidRDefault="00101D3D" w:rsidP="00101D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1D041FB3" w14:textId="4E1D1648" w:rsidR="00101D3D" w:rsidRPr="009C23F2" w:rsidRDefault="009C23F2" w:rsidP="00101D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101D3D" w:rsidRPr="00486F6E" w14:paraId="3113A697" w14:textId="77777777" w:rsidTr="0047358E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E0901E" w14:textId="77777777" w:rsidR="00101D3D" w:rsidRPr="00486F6E" w:rsidRDefault="00101D3D" w:rsidP="00101D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05B0FA" w14:textId="7E0A0252" w:rsidR="00101D3D" w:rsidRPr="00486F6E" w:rsidRDefault="00101D3D" w:rsidP="00101D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Assessment of autonomic nervous system dysfunction in patients with Covid 19 virus infection, analytically supported by artificial intelligence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7547391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635E1C" w14:textId="377E51C7" w:rsidR="00101D3D" w:rsidRPr="00486F6E" w:rsidRDefault="00101D3D" w:rsidP="00101D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1E123E" w14:textId="7E26B05F" w:rsidR="00101D3D" w:rsidRPr="00486F6E" w:rsidRDefault="00101D3D" w:rsidP="00101D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72AEA598" w14:textId="4CECAAFC" w:rsidR="00101D3D" w:rsidRPr="009C23F2" w:rsidRDefault="009C23F2" w:rsidP="00101D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</w:t>
            </w:r>
          </w:p>
        </w:tc>
      </w:tr>
      <w:tr w:rsidR="0016023D" w:rsidRPr="00486F6E" w14:paraId="37CF68F0" w14:textId="77777777" w:rsidTr="0016023D">
        <w:trPr>
          <w:trHeight w:val="1172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AB7C2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988391" w14:textId="39D6F38A" w:rsidR="0016023D" w:rsidRPr="00486F6E" w:rsidRDefault="0016023D" w:rsidP="001602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Targeting Autophagy to Combat SARSCoV2-induced Immune Dysregulation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7552006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FC0F58" w14:textId="0649C4EF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E56940" w14:textId="5714C975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4503A4A0" w14:textId="15969B78" w:rsidR="0016023D" w:rsidRPr="009C23F2" w:rsidRDefault="0045719E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</w:tr>
      <w:tr w:rsidR="0016023D" w:rsidRPr="00486F6E" w14:paraId="3AEDA160" w14:textId="77777777" w:rsidTr="0047358E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F99EB9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4AE963" w14:textId="53817607" w:rsidR="0016023D" w:rsidRPr="00486F6E" w:rsidRDefault="0016023D" w:rsidP="001602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Survivors of COVID19: variety of immune responses to SARS-CoV-2 in correlation with clinical manifestation. Long term follow up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7551587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E84E0F" w14:textId="2899D34B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078026" w14:textId="304BBB8A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66CBFE74" w14:textId="29AE5937" w:rsidR="0016023D" w:rsidRPr="009C23F2" w:rsidRDefault="002E4585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16023D" w:rsidRPr="00486F6E" w14:paraId="64FE2A79" w14:textId="77777777" w:rsidTr="0047358E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54B5AB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CA3A23" w14:textId="6466680F" w:rsidR="0016023D" w:rsidRPr="00486F6E" w:rsidRDefault="0016023D" w:rsidP="001602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 xml:space="preserve">ASSOCIATION OF ANTIOXIDANT ENZYMES POLYMORPHISMS WITH THE EXTRACELLULAR </w:t>
            </w:r>
            <w:r w:rsidRPr="00486F6E">
              <w:rPr>
                <w:rFonts w:ascii="Times New Roman" w:hAnsi="Times New Roman"/>
              </w:rPr>
              <w:lastRenderedPageBreak/>
              <w:t>VESICLES CONTENT IN CKD PATIENTS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6389868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252276" w14:textId="127E73DF" w:rsidR="0016023D" w:rsidRPr="00A86EE2" w:rsidRDefault="00A86EE2" w:rsidP="0016023D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lastRenderedPageBreak/>
              <w:t>M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A7E939" w14:textId="72740F13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>Фонд за науку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69AB202C" w14:textId="65771D29" w:rsidR="0016023D" w:rsidRPr="009C23F2" w:rsidRDefault="009C23F2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</w:tr>
      <w:tr w:rsidR="0016023D" w:rsidRPr="00486F6E" w14:paraId="0B6828AC" w14:textId="77777777" w:rsidTr="00811FF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B052C8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646892" w14:textId="47B2F9DD" w:rsidR="0016023D" w:rsidRPr="00486F6E" w:rsidRDefault="0016023D" w:rsidP="001602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IMPROVEMENT OF RADIONUCLIDE IMAGING IN THE DETECTION OF TUBERCULOSIS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6504567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0C7F6F" w14:textId="182FE0B2" w:rsidR="0016023D" w:rsidRPr="00A86EE2" w:rsidRDefault="00A86EE2" w:rsidP="0016023D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81895C" w14:textId="5AB3C168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D7F6591" w14:textId="6A37B8B6" w:rsidR="0016023D" w:rsidRPr="002F15BE" w:rsidRDefault="002E4585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</w:t>
            </w:r>
          </w:p>
        </w:tc>
      </w:tr>
      <w:tr w:rsidR="0016023D" w:rsidRPr="00486F6E" w14:paraId="34DC16AC" w14:textId="77777777" w:rsidTr="00811FF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ECFC6B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9C559C" w14:textId="38287B23" w:rsidR="0016023D" w:rsidRPr="00486F6E" w:rsidRDefault="0016023D" w:rsidP="001602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COMBINED CHROM AGAR CANDIDA SPP. AND STREPTOCOCCUS AGALACTIAE TEST FOR SCREENING VAGINAL COLONIZATION IN PREGNANT WOMEN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6466878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8D191E" w14:textId="7FCBC65B" w:rsidR="0016023D" w:rsidRPr="00A86EE2" w:rsidRDefault="00A86EE2" w:rsidP="0016023D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094667" w14:textId="3D0F8D38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61DEA13A" w14:textId="6362FA75" w:rsidR="0016023D" w:rsidRPr="002F15BE" w:rsidRDefault="002F15BE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</w:tr>
      <w:tr w:rsidR="0016023D" w:rsidRPr="00486F6E" w14:paraId="215A9CD6" w14:textId="77777777" w:rsidTr="00811FF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5E8DD6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744447" w14:textId="0408BE1E" w:rsidR="0016023D" w:rsidRPr="00486F6E" w:rsidRDefault="0016023D" w:rsidP="0016023D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IN VITRO AND IN VIVO EVALUATION OF NOVEL POLYOXOMETALATE BASED CONTRAST AGENTS FOR MICRO COMPUTED TOMOGRAPHY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6526393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6C233F" w14:textId="47858C04" w:rsidR="0016023D" w:rsidRPr="00A86EE2" w:rsidRDefault="00A86EE2" w:rsidP="0016023D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M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90FE5B" w14:textId="18A98067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7F7AB40F" w14:textId="672F54B6" w:rsidR="0016023D" w:rsidRPr="002F15BE" w:rsidRDefault="002F15BE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16023D" w:rsidRPr="00486F6E" w14:paraId="6C07657F" w14:textId="77777777" w:rsidTr="00811FF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3F7B1C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62B1F2" w14:textId="6361B59D" w:rsidR="0016023D" w:rsidRPr="00486F6E" w:rsidRDefault="0016023D" w:rsidP="00F00DC8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 xml:space="preserve">Polyphenols as potential target treatments in Drosophila melanogaster model of Fragile X syndrome </w:t>
            </w:r>
            <w:r w:rsidR="00F00DC8" w:rsidRPr="00486F6E">
              <w:rPr>
                <w:rFonts w:ascii="Times New Roman" w:hAnsi="Times New Roman"/>
                <w:lang w:val="sr-Cyrl-RS"/>
              </w:rPr>
              <w:t xml:space="preserve"> (</w:t>
            </w:r>
            <w:r w:rsidR="00F00DC8" w:rsidRPr="00486F6E">
              <w:rPr>
                <w:rFonts w:ascii="Times New Roman" w:hAnsi="Times New Roman"/>
              </w:rPr>
              <w:t>7673781</w:t>
            </w:r>
            <w:r w:rsidR="00F00DC8"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16369" w14:textId="64D6B8C6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5F8C75" w14:textId="78494D00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349C5220" w14:textId="4134FE4D" w:rsidR="0016023D" w:rsidRPr="002F15BE" w:rsidRDefault="002E4585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16023D" w:rsidRPr="00486F6E" w14:paraId="1815EDE6" w14:textId="77777777" w:rsidTr="00811FF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CDAB1A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29E8EC" w14:textId="6C59D434" w:rsidR="0016023D" w:rsidRPr="00486F6E" w:rsidRDefault="0016023D" w:rsidP="00F00DC8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Automated sensing system based on fractal, textural and wavelet computational methods for detection of low-level cellular damage</w:t>
            </w:r>
            <w:r w:rsidR="00F00DC8"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="00F00DC8" w:rsidRPr="00486F6E">
              <w:rPr>
                <w:rFonts w:ascii="Times New Roman" w:hAnsi="Times New Roman"/>
              </w:rPr>
              <w:t>7739645</w:t>
            </w:r>
            <w:r w:rsidR="00F00DC8"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D995E6" w14:textId="1C7B7560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58958A" w14:textId="2F1C003F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46D81B6" w14:textId="658AE5DA" w:rsidR="0016023D" w:rsidRPr="002F15BE" w:rsidRDefault="002E4585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</w:tr>
      <w:tr w:rsidR="0016023D" w:rsidRPr="00486F6E" w14:paraId="677DED33" w14:textId="77777777" w:rsidTr="00A5110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544EAC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5AE636" w14:textId="79826D5A" w:rsidR="0016023D" w:rsidRPr="00486F6E" w:rsidRDefault="0016023D" w:rsidP="00F00DC8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Prediction, prevention and patient's participation in diagnosis of selected fungal infections (FI): an implementation of novel method for obtaining tissue specimens</w:t>
            </w:r>
            <w:r w:rsidR="00F00DC8"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="00F00DC8" w:rsidRPr="00486F6E">
              <w:rPr>
                <w:rFonts w:ascii="Times New Roman" w:hAnsi="Times New Roman"/>
              </w:rPr>
              <w:t>7754282</w:t>
            </w:r>
            <w:r w:rsidR="00F00DC8"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3E9BA1" w14:textId="47529780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E54C8C" w14:textId="6042457B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1AB687A1" w14:textId="622E46FC" w:rsidR="0016023D" w:rsidRPr="002F15BE" w:rsidRDefault="002E4585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16023D" w:rsidRPr="00486F6E" w14:paraId="1002FB96" w14:textId="77777777" w:rsidTr="00A5110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01A2D4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D08F09" w14:textId="0F42EEAE" w:rsidR="0016023D" w:rsidRPr="00486F6E" w:rsidRDefault="0016023D" w:rsidP="00F00DC8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 xml:space="preserve">Changes in bone structure and composition leading to </w:t>
            </w:r>
            <w:r w:rsidRPr="00486F6E">
              <w:rPr>
                <w:rFonts w:ascii="Times New Roman" w:hAnsi="Times New Roman"/>
              </w:rPr>
              <w:lastRenderedPageBreak/>
              <w:t xml:space="preserve">increased fracture risk in aged population with chronic comorbidities </w:t>
            </w:r>
            <w:r w:rsidR="00F00DC8" w:rsidRPr="00486F6E">
              <w:rPr>
                <w:rFonts w:ascii="Times New Roman" w:hAnsi="Times New Roman"/>
                <w:lang w:val="sr-Cyrl-RS"/>
              </w:rPr>
              <w:t xml:space="preserve"> (</w:t>
            </w:r>
            <w:r w:rsidR="00F00DC8" w:rsidRPr="00486F6E">
              <w:rPr>
                <w:rFonts w:ascii="Times New Roman" w:hAnsi="Times New Roman"/>
              </w:rPr>
              <w:t>7749444</w:t>
            </w:r>
            <w:r w:rsidR="00F00DC8"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C14F2" w14:textId="468AE91C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lastRenderedPageBreak/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8C8F76" w14:textId="69705C4B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1B686BF9" w14:textId="7AFA992F" w:rsidR="0016023D" w:rsidRPr="002F15BE" w:rsidRDefault="002E4585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</w:tr>
      <w:tr w:rsidR="0016023D" w:rsidRPr="00486F6E" w14:paraId="1C535467" w14:textId="77777777" w:rsidTr="00A5110D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7A71F2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72438E" w14:textId="4524591D" w:rsidR="0016023D" w:rsidRPr="00486F6E" w:rsidRDefault="0016023D" w:rsidP="00F00DC8">
            <w:pPr>
              <w:rPr>
                <w:rFonts w:ascii="Times New Roman" w:eastAsia="Times New Roman" w:hAnsi="Times New Roman"/>
              </w:rPr>
            </w:pPr>
            <w:r w:rsidRPr="00486F6E">
              <w:rPr>
                <w:rFonts w:ascii="Times New Roman" w:hAnsi="Times New Roman"/>
              </w:rPr>
              <w:t>Possibilities for penile transplantation from live donors: Cadaveric study of surgical anatomy and dissection</w:t>
            </w:r>
            <w:r w:rsidR="00F00DC8"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="00F00DC8" w:rsidRPr="00486F6E">
              <w:rPr>
                <w:rFonts w:ascii="Times New Roman" w:hAnsi="Times New Roman"/>
              </w:rPr>
              <w:t>7750019</w:t>
            </w:r>
            <w:r w:rsidR="00F00DC8" w:rsidRPr="00486F6E">
              <w:rPr>
                <w:rFonts w:ascii="Times New Roman" w:hAnsi="Times New Roman"/>
                <w:lang w:val="sr-Cyrl-RS"/>
              </w:rPr>
              <w:t>)</w:t>
            </w:r>
            <w:r w:rsidRPr="00486F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9674FA" w14:textId="5A1DA851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128539" w14:textId="16919692" w:rsidR="0016023D" w:rsidRPr="00486F6E" w:rsidRDefault="0016023D" w:rsidP="0016023D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478D8C7C" w14:textId="1EB2E792" w:rsidR="0016023D" w:rsidRPr="002F15BE" w:rsidRDefault="002F15BE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486F6E" w:rsidRPr="00486F6E" w14:paraId="780DDBC5" w14:textId="77777777" w:rsidTr="00977815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D9C7B6" w14:textId="77777777" w:rsidR="00486F6E" w:rsidRPr="00486F6E" w:rsidRDefault="00486F6E" w:rsidP="00486F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CF7839" w14:textId="1A262E4D" w:rsidR="00486F6E" w:rsidRPr="00486F6E" w:rsidRDefault="00486F6E" w:rsidP="00486F6E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EFFECTS OF DIABETES MELLITUS ON OSTEOCYTIC, NEURAL AND VASCULAR NETWORKS IN BONE: IMPLICATIONS FOR INCREASED FRACTURE SUSCEPTIBILITY AT THE PROXIMAL FEMUR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6064549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43D3C8" w14:textId="28A0B523" w:rsidR="00486F6E" w:rsidRPr="00486F6E" w:rsidRDefault="00486F6E" w:rsidP="00486F6E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209EE3" w14:textId="6A4A1309" w:rsidR="00486F6E" w:rsidRPr="00486F6E" w:rsidRDefault="00486F6E" w:rsidP="00486F6E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357C2E6D" w14:textId="506A8668" w:rsidR="00486F6E" w:rsidRPr="002F15BE" w:rsidRDefault="002F15BE" w:rsidP="00486F6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</w:tr>
      <w:tr w:rsidR="00486F6E" w:rsidRPr="00486F6E" w14:paraId="23F573A1" w14:textId="77777777" w:rsidTr="00977815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B4FC0B" w14:textId="77777777" w:rsidR="00486F6E" w:rsidRPr="00486F6E" w:rsidRDefault="00486F6E" w:rsidP="00486F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3605FE" w14:textId="7262B5C8" w:rsidR="00486F6E" w:rsidRPr="00486F6E" w:rsidRDefault="00486F6E" w:rsidP="00486F6E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AN EVOLUTIONARY INSIGHT INTO MOLECULAR DIVERSITY OF EMERGING PATHOGENS IN SERBIA THROUGH PHYLOGENETIC APPROACH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6059147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90AC81" w14:textId="3851C433" w:rsidR="00486F6E" w:rsidRPr="00486F6E" w:rsidRDefault="00486F6E" w:rsidP="00486F6E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36926D" w14:textId="36C942B8" w:rsidR="00486F6E" w:rsidRPr="00486F6E" w:rsidRDefault="00486F6E" w:rsidP="00486F6E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09C36F7" w14:textId="22AA61B3" w:rsidR="00486F6E" w:rsidRPr="002F15BE" w:rsidRDefault="002E4585" w:rsidP="00486F6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486F6E" w:rsidRPr="00486F6E" w14:paraId="37752922" w14:textId="77777777" w:rsidTr="00977815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61AF6C" w14:textId="77777777" w:rsidR="00486F6E" w:rsidRPr="00486F6E" w:rsidRDefault="00486F6E" w:rsidP="00486F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938419" w14:textId="6E047883" w:rsidR="00486F6E" w:rsidRPr="00486F6E" w:rsidRDefault="00486F6E" w:rsidP="00486F6E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THE ENIGMATIC ROLE OF EPSTEIN-BARR VIRUS INFECTION IN RHEUMATOID ARTHRITIS AND SYSTEMIC LUPUS ERYTHEMATOSUS: WHICH VIRAL MARKER COULD SUGGEST TRIGGERING OF AUTOIMMUNE DISEASES?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6060866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3F7FF6" w14:textId="33E0B31E" w:rsidR="00486F6E" w:rsidRPr="00486F6E" w:rsidRDefault="00486F6E" w:rsidP="00486F6E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1CC1C7" w14:textId="62116FBF" w:rsidR="00486F6E" w:rsidRPr="00486F6E" w:rsidRDefault="00486F6E" w:rsidP="00486F6E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0342DF17" w14:textId="72612D74" w:rsidR="00486F6E" w:rsidRPr="002F15BE" w:rsidRDefault="002F15BE" w:rsidP="00486F6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</w:tr>
      <w:tr w:rsidR="00486F6E" w:rsidRPr="00486F6E" w14:paraId="194F5BF3" w14:textId="77777777" w:rsidTr="00E91136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B7C48A" w14:textId="77777777" w:rsidR="00486F6E" w:rsidRPr="00486F6E" w:rsidRDefault="00486F6E" w:rsidP="00486F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FB9BAE" w14:textId="5F9F2EB2" w:rsidR="00486F6E" w:rsidRPr="00486F6E" w:rsidRDefault="00486F6E" w:rsidP="00486F6E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 xml:space="preserve">Tracking antimicrobial resistance in diverse ecological niches - one health perspective </w:t>
            </w:r>
            <w:r w:rsidRPr="00486F6E">
              <w:rPr>
                <w:rFonts w:ascii="Times New Roman" w:hAnsi="Times New Roman"/>
                <w:lang w:val="sr-Cyrl-RS"/>
              </w:rPr>
              <w:t xml:space="preserve"> (</w:t>
            </w:r>
            <w:r w:rsidRPr="00486F6E">
              <w:rPr>
                <w:rFonts w:ascii="Times New Roman" w:hAnsi="Times New Roman"/>
              </w:rPr>
              <w:t>7042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9028DF" w14:textId="4E445087" w:rsidR="00486F6E" w:rsidRPr="00486F6E" w:rsidRDefault="00486F6E" w:rsidP="00486F6E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7CB180" w14:textId="51F8E999" w:rsidR="00486F6E" w:rsidRPr="00486F6E" w:rsidRDefault="00486F6E" w:rsidP="00486F6E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AB26813" w14:textId="2A5FFA03" w:rsidR="00486F6E" w:rsidRPr="00CE5258" w:rsidRDefault="00CE5258" w:rsidP="00486F6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</w:tr>
      <w:tr w:rsidR="00486F6E" w:rsidRPr="00486F6E" w14:paraId="4AB5E551" w14:textId="77777777" w:rsidTr="00486F6E">
        <w:trPr>
          <w:trHeight w:val="2106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8731DA" w14:textId="77777777" w:rsidR="00486F6E" w:rsidRPr="00486F6E" w:rsidRDefault="00486F6E" w:rsidP="00486F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9030FE" w14:textId="36B3609F" w:rsidR="00486F6E" w:rsidRPr="00486F6E" w:rsidRDefault="00486F6E" w:rsidP="00486F6E">
            <w:pPr>
              <w:rPr>
                <w:rFonts w:ascii="Times New Roman" w:eastAsia="Times New Roman" w:hAnsi="Times New Roman"/>
              </w:rPr>
            </w:pPr>
            <w:r w:rsidRPr="00486F6E">
              <w:rPr>
                <w:rFonts w:ascii="Times New Roman" w:hAnsi="Times New Roman"/>
              </w:rPr>
              <w:t>Coronary microcirculation status as predictor of left ventricular dysfunction and heart failure in patients with acute myocardial infarction undergoing primary PCI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7558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B44DFA" w14:textId="6C2AFDEA" w:rsidR="00486F6E" w:rsidRPr="00486F6E" w:rsidRDefault="00486F6E" w:rsidP="00486F6E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203129" w14:textId="55266C0C" w:rsidR="00486F6E" w:rsidRPr="00486F6E" w:rsidRDefault="00486F6E" w:rsidP="00486F6E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190AB45C" w14:textId="1519ABD6" w:rsidR="00486F6E" w:rsidRPr="002F15BE" w:rsidRDefault="002F15BE" w:rsidP="00486F6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</w:tr>
      <w:tr w:rsidR="00486F6E" w:rsidRPr="00486F6E" w14:paraId="29DD91DD" w14:textId="77777777" w:rsidTr="00E91136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2B4199" w14:textId="77777777" w:rsidR="00486F6E" w:rsidRPr="00486F6E" w:rsidRDefault="00486F6E" w:rsidP="00486F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805701" w14:textId="06A50147" w:rsidR="00486F6E" w:rsidRPr="00486F6E" w:rsidRDefault="00486F6E" w:rsidP="00486F6E">
            <w:pPr>
              <w:rPr>
                <w:rFonts w:ascii="Times New Roman" w:eastAsia="Times New Roman" w:hAnsi="Times New Roman"/>
                <w:lang w:val="sr-Cyrl-RS"/>
              </w:rPr>
            </w:pPr>
            <w:r w:rsidRPr="00486F6E">
              <w:rPr>
                <w:rFonts w:ascii="Times New Roman" w:hAnsi="Times New Roman"/>
              </w:rPr>
              <w:t>The First Pandemic within, and beyond, the borders of the Byzantine Empire: genetic diversity of Yersinia Pestis in Central and South-eastern Europe, 6th - 9th centuries CE</w:t>
            </w:r>
            <w:r w:rsidRPr="00486F6E">
              <w:rPr>
                <w:rFonts w:ascii="Times New Roman" w:hAnsi="Times New Roman"/>
                <w:lang w:val="sr-Cyrl-RS"/>
              </w:rPr>
              <w:t xml:space="preserve">  (</w:t>
            </w:r>
            <w:r w:rsidRPr="00486F6E">
              <w:rPr>
                <w:rFonts w:ascii="Times New Roman" w:hAnsi="Times New Roman"/>
              </w:rPr>
              <w:t>7394</w:t>
            </w:r>
            <w:r w:rsidRPr="00486F6E">
              <w:rPr>
                <w:rFonts w:ascii="Times New Roman" w:hAnsi="Times New Roman"/>
                <w:lang w:val="sr-Cyrl-RS"/>
              </w:rPr>
              <w:t>)</w:t>
            </w: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96CC0E" w14:textId="485BF231" w:rsidR="00486F6E" w:rsidRPr="00486F6E" w:rsidRDefault="00486F6E" w:rsidP="00486F6E">
            <w:pPr>
              <w:jc w:val="center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lang w:val="sr-Cyrl-CS"/>
              </w:rPr>
              <w:t>Д</w:t>
            </w: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1F1750" w14:textId="3E0BDD8E" w:rsidR="00486F6E" w:rsidRPr="00486F6E" w:rsidRDefault="00486F6E" w:rsidP="00486F6E">
            <w:pPr>
              <w:rPr>
                <w:rFonts w:ascii="Times New Roman" w:hAnsi="Times New Roman"/>
              </w:rPr>
            </w:pPr>
            <w:r w:rsidRPr="00486F6E">
              <w:rPr>
                <w:rFonts w:ascii="Times New Roman" w:hAnsi="Times New Roman"/>
                <w:lang w:val="sr-Cyrl-RS"/>
              </w:rPr>
              <w:t xml:space="preserve">Фонд за науку 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0ACE5D4A" w14:textId="14E1EB6A" w:rsidR="00486F6E" w:rsidRPr="002F15BE" w:rsidRDefault="002F15BE" w:rsidP="00486F6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</w:t>
            </w:r>
          </w:p>
        </w:tc>
      </w:tr>
      <w:tr w:rsidR="0016023D" w:rsidRPr="00486F6E" w14:paraId="0B5E2925" w14:textId="77777777" w:rsidTr="00F55256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3184AE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BBE64B" w14:textId="7FE45B40" w:rsidR="0016023D" w:rsidRPr="00486F6E" w:rsidRDefault="0016023D" w:rsidP="0016023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7EB857" w14:textId="61727AF8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72CD6E" w14:textId="25DB199E" w:rsidR="0016023D" w:rsidRPr="00486F6E" w:rsidRDefault="0016023D" w:rsidP="0016023D">
            <w:pPr>
              <w:rPr>
                <w:rFonts w:ascii="Times New Roman" w:hAnsi="Times New Roman"/>
              </w:rPr>
            </w:pP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343FB70C" w14:textId="73768BB8" w:rsidR="0016023D" w:rsidRPr="00486F6E" w:rsidRDefault="0016023D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</w:tr>
      <w:tr w:rsidR="0016023D" w:rsidRPr="00486F6E" w14:paraId="1D14469A" w14:textId="77777777" w:rsidTr="00F55256">
        <w:trPr>
          <w:trHeight w:val="211"/>
        </w:trPr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5D257E" w14:textId="77777777" w:rsidR="0016023D" w:rsidRPr="00486F6E" w:rsidRDefault="0016023D" w:rsidP="00160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741D54" w14:textId="4A96A4C7" w:rsidR="0016023D" w:rsidRPr="00486F6E" w:rsidRDefault="0016023D" w:rsidP="0016023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5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95EF17" w14:textId="2AEFBF9D" w:rsidR="0016023D" w:rsidRPr="00486F6E" w:rsidRDefault="0016023D" w:rsidP="001602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021B74" w14:textId="3165D6D7" w:rsidR="0016023D" w:rsidRPr="00486F6E" w:rsidRDefault="0016023D" w:rsidP="0016023D">
            <w:pPr>
              <w:rPr>
                <w:rFonts w:ascii="Times New Roman" w:hAnsi="Times New Roman"/>
              </w:rPr>
            </w:pP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01E3D94E" w14:textId="768D9A50" w:rsidR="0016023D" w:rsidRPr="00486F6E" w:rsidRDefault="0016023D" w:rsidP="0016023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</w:rPr>
            </w:pPr>
          </w:p>
        </w:tc>
      </w:tr>
      <w:tr w:rsidR="0016023D" w:rsidRPr="00486F6E" w14:paraId="2F8A263D" w14:textId="77777777" w:rsidTr="00AF2B40">
        <w:trPr>
          <w:trHeight w:val="434"/>
        </w:trPr>
        <w:tc>
          <w:tcPr>
            <w:tcW w:w="875" w:type="dxa"/>
            <w:tcBorders>
              <w:top w:val="single" w:sz="4" w:space="0" w:color="auto"/>
              <w:left w:val="double" w:sz="4" w:space="0" w:color="000000"/>
              <w:bottom w:val="nil"/>
            </w:tcBorders>
            <w:shd w:val="clear" w:color="auto" w:fill="auto"/>
            <w:vAlign w:val="center"/>
          </w:tcPr>
          <w:p w14:paraId="3485ACCF" w14:textId="77777777" w:rsidR="0016023D" w:rsidRPr="00486F6E" w:rsidRDefault="0016023D" w:rsidP="0016023D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14:paraId="074362D6" w14:textId="77777777" w:rsidR="0016023D" w:rsidRPr="00486F6E" w:rsidRDefault="0016023D" w:rsidP="0016023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3F3352DB" w14:textId="77777777" w:rsidR="0016023D" w:rsidRPr="00486F6E" w:rsidRDefault="0016023D" w:rsidP="0016023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14:paraId="2EFE6E5B" w14:textId="77777777" w:rsidR="0016023D" w:rsidRPr="00486F6E" w:rsidRDefault="0016023D" w:rsidP="0016023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000000"/>
              <w:bottom w:val="nil"/>
              <w:right w:val="double" w:sz="4" w:space="0" w:color="000000"/>
            </w:tcBorders>
            <w:shd w:val="clear" w:color="auto" w:fill="auto"/>
          </w:tcPr>
          <w:p w14:paraId="71DC67E1" w14:textId="77777777" w:rsidR="0016023D" w:rsidRPr="00486F6E" w:rsidRDefault="0016023D" w:rsidP="0016023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16023D" w:rsidRPr="00486F6E" w14:paraId="6001FC28" w14:textId="77777777" w:rsidTr="00B8762C">
        <w:tc>
          <w:tcPr>
            <w:tcW w:w="918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1E9C39B" w14:textId="77777777" w:rsidR="0016023D" w:rsidRPr="00486F6E" w:rsidRDefault="0016023D" w:rsidP="0016023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486F6E"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 w:rsidRPr="00486F6E"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</w:t>
            </w:r>
          </w:p>
        </w:tc>
      </w:tr>
    </w:tbl>
    <w:p w14:paraId="4733651F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19BB20E5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3AE9A15F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2FE08B7C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5453E2F2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31364205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098F8712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623D7B6E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6BB50625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1AB9BBD2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62671CDC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28CB1F41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137AD9B5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6AFEA71A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465D930C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0EDEFDEB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1BBFC996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27A52F39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07116C3C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4271FB0F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29B9504F" w14:textId="77777777" w:rsidR="008C2ACF" w:rsidRPr="00486F6E" w:rsidRDefault="008C2ACF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454AA2B7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5B513346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5528FABE" w14:textId="77777777" w:rsidR="00FA35A8" w:rsidRPr="00486F6E" w:rsidRDefault="00FA35A8" w:rsidP="00FA35A8">
      <w:pPr>
        <w:spacing w:after="0" w:line="240" w:lineRule="auto"/>
        <w:jc w:val="both"/>
        <w:rPr>
          <w:rFonts w:ascii="Times New Roman" w:hAnsi="Times New Roman"/>
        </w:rPr>
      </w:pPr>
    </w:p>
    <w:p w14:paraId="20281D99" w14:textId="77777777" w:rsidR="00D2142C" w:rsidRPr="00486F6E" w:rsidRDefault="00D2142C" w:rsidP="00FA35A8">
      <w:pPr>
        <w:spacing w:after="0" w:line="240" w:lineRule="auto"/>
        <w:jc w:val="both"/>
        <w:rPr>
          <w:rFonts w:ascii="Times New Roman" w:hAnsi="Times New Roman"/>
        </w:rPr>
      </w:pPr>
    </w:p>
    <w:sectPr w:rsidR="00D2142C" w:rsidRPr="00486F6E" w:rsidSect="00BE44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F3128"/>
    <w:multiLevelType w:val="hybridMultilevel"/>
    <w:tmpl w:val="F96E9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6A97"/>
    <w:multiLevelType w:val="hybridMultilevel"/>
    <w:tmpl w:val="CFEE8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041A9"/>
    <w:multiLevelType w:val="hybridMultilevel"/>
    <w:tmpl w:val="C8E0E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A8"/>
    <w:rsid w:val="0005317A"/>
    <w:rsid w:val="000761FF"/>
    <w:rsid w:val="00081C12"/>
    <w:rsid w:val="000E29CB"/>
    <w:rsid w:val="000E2D7D"/>
    <w:rsid w:val="000E7E38"/>
    <w:rsid w:val="00101D3D"/>
    <w:rsid w:val="0016023D"/>
    <w:rsid w:val="001A3B04"/>
    <w:rsid w:val="002E3ED0"/>
    <w:rsid w:val="002E4585"/>
    <w:rsid w:val="002F15BE"/>
    <w:rsid w:val="002F3D4D"/>
    <w:rsid w:val="00361F56"/>
    <w:rsid w:val="00370471"/>
    <w:rsid w:val="003C7B96"/>
    <w:rsid w:val="003D3279"/>
    <w:rsid w:val="003E2146"/>
    <w:rsid w:val="003F020F"/>
    <w:rsid w:val="003F1F33"/>
    <w:rsid w:val="0045719E"/>
    <w:rsid w:val="00486F6E"/>
    <w:rsid w:val="004B6C31"/>
    <w:rsid w:val="00500D29"/>
    <w:rsid w:val="00556BA6"/>
    <w:rsid w:val="005E2EFF"/>
    <w:rsid w:val="00604EC4"/>
    <w:rsid w:val="006265E8"/>
    <w:rsid w:val="006355BC"/>
    <w:rsid w:val="006706BF"/>
    <w:rsid w:val="006928D8"/>
    <w:rsid w:val="00705716"/>
    <w:rsid w:val="00712AE6"/>
    <w:rsid w:val="007218E8"/>
    <w:rsid w:val="00731EDF"/>
    <w:rsid w:val="0073395C"/>
    <w:rsid w:val="007A16A1"/>
    <w:rsid w:val="007A575E"/>
    <w:rsid w:val="007E2A8F"/>
    <w:rsid w:val="00801796"/>
    <w:rsid w:val="00804A7D"/>
    <w:rsid w:val="00842B3A"/>
    <w:rsid w:val="008C2ACF"/>
    <w:rsid w:val="008E7A28"/>
    <w:rsid w:val="00915BA1"/>
    <w:rsid w:val="009642ED"/>
    <w:rsid w:val="00987A9D"/>
    <w:rsid w:val="009C0462"/>
    <w:rsid w:val="009C23F2"/>
    <w:rsid w:val="009E08BB"/>
    <w:rsid w:val="00A42349"/>
    <w:rsid w:val="00A47A23"/>
    <w:rsid w:val="00A85DF3"/>
    <w:rsid w:val="00A86EE2"/>
    <w:rsid w:val="00AA78D9"/>
    <w:rsid w:val="00AB0466"/>
    <w:rsid w:val="00AB68AC"/>
    <w:rsid w:val="00AD55B0"/>
    <w:rsid w:val="00AF2B40"/>
    <w:rsid w:val="00B059BB"/>
    <w:rsid w:val="00B73D8B"/>
    <w:rsid w:val="00B81761"/>
    <w:rsid w:val="00B81ED7"/>
    <w:rsid w:val="00B921E6"/>
    <w:rsid w:val="00BE3206"/>
    <w:rsid w:val="00BE44BB"/>
    <w:rsid w:val="00C00FFF"/>
    <w:rsid w:val="00C04E59"/>
    <w:rsid w:val="00C20681"/>
    <w:rsid w:val="00C33B75"/>
    <w:rsid w:val="00C426E9"/>
    <w:rsid w:val="00CB7108"/>
    <w:rsid w:val="00CC4400"/>
    <w:rsid w:val="00CD4D0D"/>
    <w:rsid w:val="00CD5CDD"/>
    <w:rsid w:val="00CE5258"/>
    <w:rsid w:val="00CF5817"/>
    <w:rsid w:val="00D131D6"/>
    <w:rsid w:val="00D2142C"/>
    <w:rsid w:val="00D31A03"/>
    <w:rsid w:val="00D6730C"/>
    <w:rsid w:val="00D84A04"/>
    <w:rsid w:val="00D90B29"/>
    <w:rsid w:val="00DA6548"/>
    <w:rsid w:val="00DC4B42"/>
    <w:rsid w:val="00E046F4"/>
    <w:rsid w:val="00E165AE"/>
    <w:rsid w:val="00E25D8B"/>
    <w:rsid w:val="00E60685"/>
    <w:rsid w:val="00E803BB"/>
    <w:rsid w:val="00F00DC8"/>
    <w:rsid w:val="00F06F44"/>
    <w:rsid w:val="00F3715C"/>
    <w:rsid w:val="00F83506"/>
    <w:rsid w:val="00FA35A8"/>
    <w:rsid w:val="00FF47FD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8800"/>
  <w15:docId w15:val="{F1E09D61-1462-4618-B93E-08B999FB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5A8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4F454-1B92-434F-B2C9-926794282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Dusica</dc:creator>
  <cp:lastModifiedBy>Korisnik</cp:lastModifiedBy>
  <cp:revision>12</cp:revision>
  <cp:lastPrinted>2023-12-01T12:23:00Z</cp:lastPrinted>
  <dcterms:created xsi:type="dcterms:W3CDTF">2023-12-01T09:00:00Z</dcterms:created>
  <dcterms:modified xsi:type="dcterms:W3CDTF">2023-12-07T13:23:00Z</dcterms:modified>
</cp:coreProperties>
</file>