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512"/>
      </w:tblGrid>
      <w:tr w:rsidR="0087391B" w:rsidRPr="00906E09" w14:paraId="2C0E32A5" w14:textId="77777777" w:rsidTr="00E54D7F">
        <w:trPr>
          <w:jc w:val="center"/>
        </w:trPr>
        <w:tc>
          <w:tcPr>
            <w:tcW w:w="1838" w:type="dxa"/>
            <w:vAlign w:val="center"/>
          </w:tcPr>
          <w:p w14:paraId="5349AF9A" w14:textId="27832875" w:rsidR="0087391B" w:rsidRPr="00906E09" w:rsidRDefault="0087391B" w:rsidP="007C44F9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906E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  <w:t>Датум приступа</w:t>
            </w:r>
          </w:p>
        </w:tc>
        <w:tc>
          <w:tcPr>
            <w:tcW w:w="7512" w:type="dxa"/>
            <w:vAlign w:val="center"/>
          </w:tcPr>
          <w:p w14:paraId="4CE298D6" w14:textId="60D17C54" w:rsidR="0087391B" w:rsidRPr="00906E09" w:rsidRDefault="00D26E06" w:rsidP="007C44F9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>1</w:t>
            </w:r>
            <w:r w:rsidR="00D114BB" w:rsidRPr="00906E09">
              <w:rPr>
                <w:rFonts w:ascii="Tahoma" w:hAnsi="Tahoma" w:cs="Tahoma"/>
                <w:sz w:val="18"/>
                <w:szCs w:val="18"/>
                <w:lang w:val="sr-Latn-RS"/>
              </w:rPr>
              <w:t>7</w:t>
            </w:r>
            <w:r w:rsidR="009A5707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.</w:t>
            </w:r>
            <w:r w:rsidR="008579A9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03</w:t>
            </w:r>
            <w:r w:rsidR="009A5707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.202</w:t>
            </w:r>
            <w:r w:rsidR="008579A9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5</w:t>
            </w:r>
            <w:r w:rsidR="009A5707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.</w:t>
            </w:r>
          </w:p>
        </w:tc>
      </w:tr>
      <w:tr w:rsidR="0087391B" w:rsidRPr="00906E09" w14:paraId="60D85507" w14:textId="77777777" w:rsidTr="00E54D7F">
        <w:trPr>
          <w:jc w:val="center"/>
        </w:trPr>
        <w:tc>
          <w:tcPr>
            <w:tcW w:w="1838" w:type="dxa"/>
            <w:vAlign w:val="center"/>
          </w:tcPr>
          <w:p w14:paraId="525F2CD4" w14:textId="342F19EF" w:rsidR="0087391B" w:rsidRPr="00906E09" w:rsidRDefault="0087391B" w:rsidP="007C44F9">
            <w:pPr>
              <w:spacing w:before="60" w:after="6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906E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  <w:t>Конкурс</w:t>
            </w:r>
          </w:p>
        </w:tc>
        <w:tc>
          <w:tcPr>
            <w:tcW w:w="7512" w:type="dxa"/>
            <w:vAlign w:val="center"/>
          </w:tcPr>
          <w:p w14:paraId="2847AD83" w14:textId="6AF4E6A3" w:rsidR="0087391B" w:rsidRPr="00906E09" w:rsidRDefault="00182C45" w:rsidP="007C44F9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Implementation Research for Multi-morbidity Management in the Context of Non-communicable Diseases in Low- and Middle-Income Countries and US Tribal Populations (R01 Clinical Trial Optional)</w:t>
            </w:r>
          </w:p>
        </w:tc>
      </w:tr>
      <w:tr w:rsidR="0087391B" w:rsidRPr="00906E09" w14:paraId="7798FE17" w14:textId="77777777" w:rsidTr="00E54D7F">
        <w:trPr>
          <w:jc w:val="center"/>
        </w:trPr>
        <w:tc>
          <w:tcPr>
            <w:tcW w:w="1838" w:type="dxa"/>
            <w:vAlign w:val="center"/>
          </w:tcPr>
          <w:p w14:paraId="15695360" w14:textId="68025366" w:rsidR="0087391B" w:rsidRPr="00906E09" w:rsidRDefault="0087391B" w:rsidP="007C44F9">
            <w:pPr>
              <w:spacing w:before="60" w:after="6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906E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  <w:t>ID позива</w:t>
            </w:r>
          </w:p>
        </w:tc>
        <w:tc>
          <w:tcPr>
            <w:tcW w:w="7512" w:type="dxa"/>
            <w:vAlign w:val="center"/>
          </w:tcPr>
          <w:p w14:paraId="04B03975" w14:textId="6CDC4D7A" w:rsidR="00825AC6" w:rsidRPr="00906E09" w:rsidRDefault="00182C45" w:rsidP="007C44F9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Latn-RS"/>
              </w:rPr>
            </w:pP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PAR-25-213</w:t>
            </w:r>
          </w:p>
        </w:tc>
      </w:tr>
      <w:tr w:rsidR="0087391B" w:rsidRPr="00906E09" w14:paraId="6DB96E34" w14:textId="77777777" w:rsidTr="00E54D7F">
        <w:trPr>
          <w:jc w:val="center"/>
        </w:trPr>
        <w:tc>
          <w:tcPr>
            <w:tcW w:w="1838" w:type="dxa"/>
            <w:vAlign w:val="center"/>
          </w:tcPr>
          <w:p w14:paraId="4C7CBBDB" w14:textId="5EF8C1D0" w:rsidR="0087391B" w:rsidRPr="00906E09" w:rsidRDefault="0087391B" w:rsidP="007C44F9">
            <w:pPr>
              <w:spacing w:before="60" w:after="6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906E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  <w:t>Тип акције</w:t>
            </w:r>
          </w:p>
        </w:tc>
        <w:tc>
          <w:tcPr>
            <w:tcW w:w="7512" w:type="dxa"/>
            <w:vAlign w:val="center"/>
          </w:tcPr>
          <w:p w14:paraId="683FAC14" w14:textId="2D96C070" w:rsidR="003370C4" w:rsidRPr="00906E09" w:rsidRDefault="00F70082" w:rsidP="007C44F9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R01 Research Project Grant</w:t>
            </w:r>
          </w:p>
        </w:tc>
      </w:tr>
      <w:tr w:rsidR="0087391B" w:rsidRPr="00906E09" w14:paraId="6F2DDAC0" w14:textId="77777777" w:rsidTr="00E54D7F">
        <w:trPr>
          <w:jc w:val="center"/>
        </w:trPr>
        <w:tc>
          <w:tcPr>
            <w:tcW w:w="1838" w:type="dxa"/>
            <w:vAlign w:val="center"/>
          </w:tcPr>
          <w:p w14:paraId="7F69D0FF" w14:textId="5F07B473" w:rsidR="0087391B" w:rsidRPr="00906E09" w:rsidRDefault="0087391B" w:rsidP="007C44F9">
            <w:pPr>
              <w:spacing w:before="60" w:after="6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906E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  <w:t>Врста позива</w:t>
            </w:r>
          </w:p>
        </w:tc>
        <w:tc>
          <w:tcPr>
            <w:tcW w:w="7512" w:type="dxa"/>
            <w:vAlign w:val="center"/>
          </w:tcPr>
          <w:p w14:paraId="1983C51E" w14:textId="1B6BFF24" w:rsidR="0087391B" w:rsidRPr="00906E09" w:rsidRDefault="00465A7C" w:rsidP="007C44F9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Подн</w:t>
            </w:r>
            <w:r w:rsidR="009E7995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о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си се комплетна пријава на почетку процеса (S</w:t>
            </w:r>
            <w:r w:rsidR="00732744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ingle-stage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)</w:t>
            </w:r>
          </w:p>
        </w:tc>
      </w:tr>
      <w:tr w:rsidR="00597E9F" w:rsidRPr="00906E09" w14:paraId="7F8D0EA1" w14:textId="77777777" w:rsidTr="00E54D7F">
        <w:trPr>
          <w:jc w:val="center"/>
        </w:trPr>
        <w:tc>
          <w:tcPr>
            <w:tcW w:w="1838" w:type="dxa"/>
            <w:vAlign w:val="center"/>
          </w:tcPr>
          <w:p w14:paraId="08965BB4" w14:textId="77C0DEDD" w:rsidR="00597E9F" w:rsidRPr="00906E09" w:rsidRDefault="00597E9F" w:rsidP="007C44F9">
            <w:pPr>
              <w:spacing w:before="60" w:after="6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906E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  <w:t>Финансијер</w:t>
            </w:r>
          </w:p>
        </w:tc>
        <w:tc>
          <w:tcPr>
            <w:tcW w:w="7512" w:type="dxa"/>
            <w:vAlign w:val="center"/>
          </w:tcPr>
          <w:p w14:paraId="0B48B67A" w14:textId="73AA5864" w:rsidR="00597E9F" w:rsidRPr="00906E09" w:rsidRDefault="00647AF9" w:rsidP="007C44F9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National Institutes of Health (NIH)</w:t>
            </w:r>
          </w:p>
        </w:tc>
      </w:tr>
      <w:tr w:rsidR="00597E9F" w:rsidRPr="00906E09" w14:paraId="465E0615" w14:textId="77777777" w:rsidTr="00E54D7F">
        <w:trPr>
          <w:jc w:val="center"/>
        </w:trPr>
        <w:tc>
          <w:tcPr>
            <w:tcW w:w="1838" w:type="dxa"/>
            <w:vAlign w:val="center"/>
          </w:tcPr>
          <w:p w14:paraId="77D24E3D" w14:textId="3D32CB02" w:rsidR="00597E9F" w:rsidRPr="00906E09" w:rsidRDefault="00597E9F" w:rsidP="007C44F9">
            <w:pPr>
              <w:spacing w:before="60" w:after="6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906E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  <w:t>Координација</w:t>
            </w:r>
          </w:p>
        </w:tc>
        <w:tc>
          <w:tcPr>
            <w:tcW w:w="7512" w:type="dxa"/>
            <w:vAlign w:val="center"/>
          </w:tcPr>
          <w:p w14:paraId="10CC4A8A" w14:textId="23AF08F2" w:rsidR="00182C45" w:rsidRPr="00906E09" w:rsidRDefault="00182C45" w:rsidP="00182C45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Latn-RS"/>
              </w:rPr>
            </w:pP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Fogarty International Center (FIC)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 xml:space="preserve">,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National Eye Institute (NEI)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 xml:space="preserve">,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National Heart, Lung, and Blood Institute (NHLBI)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 xml:space="preserve">,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National Institute on Aging (NIA)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 xml:space="preserve">,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Eunice Kennedy Shriver National Institute of Child Health and Human Development (NICHD)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 xml:space="preserve">,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National Institute of Mental Health (NIMH)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 xml:space="preserve">,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National Institute of Neurological Disorders and Stroke (NINDS)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 xml:space="preserve">,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National Cancer Institute (NCI)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>.</w:t>
            </w:r>
          </w:p>
          <w:p w14:paraId="5A108227" w14:textId="1D3F2020" w:rsidR="00597E9F" w:rsidRPr="00906E09" w:rsidRDefault="00182C45" w:rsidP="00182C45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Latn-RS"/>
              </w:rPr>
            </w:pP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 xml:space="preserve">Све пријаве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з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>а ов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ај позив за 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>финансирањ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е треба да 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 xml:space="preserve">спадају у мисију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релевантног 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 xml:space="preserve">института/центара.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К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>анцелариј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а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Office of Research on Women's Health (ORWH)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 xml:space="preserve">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NIH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>-а мо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же да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 xml:space="preserve"> суфинансира апликације додељене тим институтима/центрима.</w:t>
            </w:r>
          </w:p>
        </w:tc>
      </w:tr>
      <w:tr w:rsidR="00597E9F" w:rsidRPr="00906E09" w14:paraId="54B43FD6" w14:textId="77777777" w:rsidTr="00E54D7F">
        <w:trPr>
          <w:jc w:val="center"/>
        </w:trPr>
        <w:tc>
          <w:tcPr>
            <w:tcW w:w="1838" w:type="dxa"/>
            <w:vAlign w:val="center"/>
          </w:tcPr>
          <w:p w14:paraId="4FDC8B7B" w14:textId="4513FC5B" w:rsidR="00597E9F" w:rsidRPr="00906E09" w:rsidRDefault="00597E9F" w:rsidP="007C44F9">
            <w:pPr>
              <w:spacing w:before="60" w:after="6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906E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  <w:t>Опис</w:t>
            </w:r>
          </w:p>
        </w:tc>
        <w:tc>
          <w:tcPr>
            <w:tcW w:w="7512" w:type="dxa"/>
            <w:vAlign w:val="center"/>
          </w:tcPr>
          <w:p w14:paraId="1B91AFB9" w14:textId="52D0669F" w:rsidR="00562607" w:rsidRDefault="00562607" w:rsidP="00184EF4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562607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Мултиморбидитет 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код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дуготрајни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х незаразних болести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(non-communicable disease, NCD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)</w:t>
            </w:r>
            <w:r w:rsidRPr="00562607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се односи на истовремену појаву вишеструких дуготрајних (хроничних) стања, од којих је најмање једно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NCD</w:t>
            </w:r>
            <w:r w:rsidRPr="00562607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. Хроничне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NCD</w:t>
            </w:r>
            <w:r w:rsidRPr="00562607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укључују кардиоваскуларне болести, респираторне болести, одређене врсте рака, мишићно-скелетне поремећаје, дијабетес, хипертензију, хематолошке поремећаје, поремећаје спавања и менталне болести.</w:t>
            </w:r>
          </w:p>
          <w:p w14:paraId="7C41E1FF" w14:textId="474CA6E2" w:rsidR="009114B0" w:rsidRPr="00906E09" w:rsidRDefault="00184EF4" w:rsidP="00184EF4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Институти, центри и канцеларије NIH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-а,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у сарадњи са Глобалном алијансом за хроничне болести (Global Alliance for Chronic Diseases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,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GACD), позивају на пријаве за спровођење истраживања која имају за циљ да побољшају доступност ефикасне, правичне, ефикасне, интегрисане, безбедне и благовремене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заштите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за људе који живе са вишеструким дуготрајним обољењима (NCD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multimorbidity)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у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земљ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ама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са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ниским и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средњим дохотком (low- and middle-income countries</w:t>
            </w:r>
            <w:r w:rsidR="00562607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,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LMICs) и/или унутар популације америчких Индијанаца/</w:t>
            </w:r>
            <w:r w:rsidR="009114B0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староседелаца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Аљаске </w:t>
            </w:r>
            <w:r w:rsidR="00562607">
              <w:rPr>
                <w:rFonts w:ascii="Tahoma" w:hAnsi="Tahoma" w:cs="Tahoma"/>
                <w:sz w:val="18"/>
                <w:szCs w:val="18"/>
                <w:lang w:val="sr-Cyrl-RS"/>
              </w:rPr>
              <w:t>(</w:t>
            </w:r>
            <w:r w:rsidR="00562607" w:rsidRPr="00562607">
              <w:rPr>
                <w:rFonts w:ascii="Tahoma" w:hAnsi="Tahoma" w:cs="Tahoma"/>
                <w:sz w:val="18"/>
                <w:szCs w:val="18"/>
                <w:lang w:val="sr-Cyrl-RS"/>
              </w:rPr>
              <w:t>AI/AN</w:t>
            </w:r>
            <w:r w:rsidR="00562607">
              <w:rPr>
                <w:rFonts w:ascii="Tahoma" w:hAnsi="Tahoma" w:cs="Tahoma"/>
                <w:sz w:val="18"/>
                <w:szCs w:val="18"/>
                <w:lang w:val="sr-Cyrl-RS"/>
              </w:rPr>
              <w:t>)</w:t>
            </w:r>
            <w:r w:rsidR="00562607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у </w:t>
            </w:r>
            <w:r w:rsidR="009114B0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САД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.</w:t>
            </w:r>
          </w:p>
          <w:p w14:paraId="5ADFBF21" w14:textId="6E086B71" w:rsidR="00D81EB4" w:rsidRPr="00906E09" w:rsidRDefault="00184EF4" w:rsidP="00184EF4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Све пријаве морају бити у оквиру мисије једног од горе наведених института/центара (осим</w:t>
            </w:r>
            <w:r w:rsidR="009114B0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</w:t>
            </w:r>
            <w:r w:rsidR="009114B0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FIC</w:t>
            </w:r>
            <w:r w:rsidR="003F78A6">
              <w:rPr>
                <w:rFonts w:ascii="Tahoma" w:hAnsi="Tahoma" w:cs="Tahoma"/>
                <w:sz w:val="18"/>
                <w:szCs w:val="18"/>
                <w:lang w:val="sr-Cyrl-RS"/>
              </w:rPr>
              <w:t>-а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који управља овим програмом, али не подржава </w:t>
            </w:r>
            <w:r w:rsidR="009114B0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грантове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). Пријаве ће бити прихваћене само од институција </w:t>
            </w:r>
            <w:r w:rsidR="009114B0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из </w:t>
            </w:r>
            <w:r w:rsidR="009114B0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LMICs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које дефиниш</w:t>
            </w:r>
            <w:r w:rsidR="009114B0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у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САД и Светска банка.</w:t>
            </w:r>
          </w:p>
        </w:tc>
      </w:tr>
      <w:tr w:rsidR="00597E9F" w:rsidRPr="00906E09" w14:paraId="75545308" w14:textId="77777777" w:rsidTr="00E54D7F">
        <w:trPr>
          <w:jc w:val="center"/>
        </w:trPr>
        <w:tc>
          <w:tcPr>
            <w:tcW w:w="1838" w:type="dxa"/>
            <w:vAlign w:val="center"/>
          </w:tcPr>
          <w:p w14:paraId="37AEE3C5" w14:textId="076BD6BE" w:rsidR="00597E9F" w:rsidRPr="00906E09" w:rsidRDefault="00597E9F" w:rsidP="007C44F9">
            <w:pPr>
              <w:spacing w:before="60" w:after="6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906E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  <w:t>Фокус</w:t>
            </w:r>
          </w:p>
        </w:tc>
        <w:tc>
          <w:tcPr>
            <w:tcW w:w="7512" w:type="dxa"/>
            <w:vAlign w:val="center"/>
          </w:tcPr>
          <w:p w14:paraId="3EE4E69A" w14:textId="2F065331" w:rsidR="00562607" w:rsidRPr="00906E09" w:rsidRDefault="00562607" w:rsidP="00562607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562607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Циљ овог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Обавештењ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а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о могућностима финансирања (Notice of Funding Opportunity, NOFO) </w:t>
            </w:r>
            <w:r w:rsidRPr="00562607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је истраживање имплементације које ће генерисати доказе о томе када, за кога и под којим околностима приступи усмерени на пацијенте могу побољшати интегрисану негу пацијената са мултиморбидитетом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NCD</w:t>
            </w:r>
            <w:r w:rsidRPr="00562607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у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LMICs</w:t>
            </w:r>
            <w:r w:rsidRPr="00562607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и/или унутар AI/AN</w:t>
            </w:r>
            <w:r w:rsidRPr="00562607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</w:t>
            </w:r>
            <w:r w:rsidRPr="00562607">
              <w:rPr>
                <w:rFonts w:ascii="Tahoma" w:hAnsi="Tahoma" w:cs="Tahoma"/>
                <w:sz w:val="18"/>
                <w:szCs w:val="18"/>
                <w:lang w:val="sr-Cyrl-RS"/>
              </w:rPr>
              <w:t>популација у САД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>. П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одржава иновативне приступе идентификовању, разумевању, развоју и примени стратегија за превазилажење препрека за усвајање, прилагођавање, интеграцију, унапређивање и одрживост интервенција, алата, политика и смерница заснованих на доказима. Поред тога, подстичу се студије за унапређивање и примену метода и мера истраживања дисеминације и имплементације.</w:t>
            </w:r>
          </w:p>
          <w:p w14:paraId="4B64CE8A" w14:textId="46205D5D" w:rsidR="00D81EB4" w:rsidRPr="00906E09" w:rsidRDefault="0078364F" w:rsidP="00562607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78364F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Овај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NOFO</w:t>
            </w:r>
            <w:r w:rsidRPr="0078364F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је усклађен са укупном иницијативом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GACD</w:t>
            </w:r>
            <w:r w:rsidRPr="0078364F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за подршку истраживању</w:t>
            </w:r>
            <w:r w:rsidR="00562607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</w:t>
            </w:r>
            <w:r w:rsidR="00562607" w:rsidRPr="0078364F">
              <w:rPr>
                <w:rFonts w:ascii="Tahoma" w:hAnsi="Tahoma" w:cs="Tahoma"/>
                <w:sz w:val="18"/>
                <w:szCs w:val="18"/>
                <w:lang w:val="sr-Cyrl-RS"/>
              </w:rPr>
              <w:t>имплементаци</w:t>
            </w:r>
            <w:r w:rsidR="00562607">
              <w:rPr>
                <w:rFonts w:ascii="Tahoma" w:hAnsi="Tahoma" w:cs="Tahoma"/>
                <w:sz w:val="18"/>
                <w:szCs w:val="18"/>
                <w:lang w:val="sr-Cyrl-RS"/>
              </w:rPr>
              <w:t>је</w:t>
            </w:r>
            <w:r w:rsidRPr="0078364F">
              <w:rPr>
                <w:rFonts w:ascii="Tahoma" w:hAnsi="Tahoma" w:cs="Tahoma"/>
                <w:sz w:val="18"/>
                <w:szCs w:val="18"/>
                <w:lang w:val="sr-Cyrl-RS"/>
              </w:rPr>
              <w:t>, дефинисаном као научна студија о употреби стратегија за усвајање и интеграцију здравствених интервенција заснованих на доказима у клиничка окружења и окружења заједнице како би се побољшали индивидуални исходи и користи</w:t>
            </w:r>
            <w:r w:rsidR="001A45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за</w:t>
            </w:r>
            <w:r w:rsidRPr="0078364F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здрављ</w:t>
            </w:r>
            <w:r w:rsidR="001A4500">
              <w:rPr>
                <w:rFonts w:ascii="Tahoma" w:hAnsi="Tahoma" w:cs="Tahoma"/>
                <w:sz w:val="18"/>
                <w:szCs w:val="18"/>
                <w:lang w:val="sr-Cyrl-RS"/>
              </w:rPr>
              <w:t>е</w:t>
            </w:r>
            <w:r w:rsidRPr="0078364F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становништва.</w:t>
            </w:r>
            <w:r w:rsidR="001A45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</w:t>
            </w:r>
            <w:r w:rsidRPr="0078364F">
              <w:rPr>
                <w:rFonts w:ascii="Tahoma" w:hAnsi="Tahoma" w:cs="Tahoma"/>
                <w:sz w:val="18"/>
                <w:szCs w:val="18"/>
                <w:lang w:val="sr-Cyrl-RS"/>
              </w:rPr>
              <w:t>Истраживање имплементације испитује које стратегије функционишу, за кога и под којим околностима да промовишу усвајање, повећање и ширење ефикасних интервенција.</w:t>
            </w:r>
            <w:r w:rsidR="00562607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</w:t>
            </w:r>
            <w:r w:rsidRPr="0078364F">
              <w:rPr>
                <w:rFonts w:ascii="Tahoma" w:hAnsi="Tahoma" w:cs="Tahoma"/>
                <w:sz w:val="18"/>
                <w:szCs w:val="18"/>
                <w:lang w:val="sr-Cyrl-RS"/>
              </w:rPr>
              <w:t>Пројекти се</w:t>
            </w:r>
            <w:r w:rsidR="001A4500">
              <w:rPr>
                <w:rFonts w:ascii="Tahoma" w:hAnsi="Tahoma" w:cs="Tahoma"/>
                <w:sz w:val="18"/>
                <w:szCs w:val="18"/>
                <w:lang w:val="sr-Cyrl-RS"/>
              </w:rPr>
              <w:t>,</w:t>
            </w:r>
            <w:r w:rsidRPr="0078364F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такође</w:t>
            </w:r>
            <w:r w:rsidR="001A4500">
              <w:rPr>
                <w:rFonts w:ascii="Tahoma" w:hAnsi="Tahoma" w:cs="Tahoma"/>
                <w:sz w:val="18"/>
                <w:szCs w:val="18"/>
                <w:lang w:val="sr-Cyrl-RS"/>
              </w:rPr>
              <w:t>,</w:t>
            </w:r>
            <w:r w:rsidRPr="0078364F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могу бавити начином на који се интервенције могу прилагодити и повећати на начине који су изводљиви, прихватљиви, доступни, одрживи и правични у датом националном контексту.</w:t>
            </w:r>
            <w:r w:rsidR="00562607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И</w:t>
            </w:r>
            <w:r w:rsidR="001A4500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страживање </w:t>
            </w:r>
            <w:r w:rsidR="00562607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имплементације </w:t>
            </w:r>
            <w:r w:rsidRPr="0078364F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је посебно релевантно у </w:t>
            </w:r>
            <w:r w:rsidR="001A4500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LMICs</w:t>
            </w:r>
            <w:r w:rsidRPr="0078364F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, где </w:t>
            </w:r>
            <w:r w:rsidR="001A4500">
              <w:rPr>
                <w:rFonts w:ascii="Tahoma" w:hAnsi="Tahoma" w:cs="Tahoma"/>
                <w:sz w:val="18"/>
                <w:szCs w:val="18"/>
                <w:lang w:val="sr-Cyrl-RS"/>
              </w:rPr>
              <w:t>осигурава</w:t>
            </w:r>
            <w:r w:rsidRPr="0078364F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да се ограничени ресурси улажу у исплативе интервенције.</w:t>
            </w:r>
          </w:p>
        </w:tc>
      </w:tr>
      <w:tr w:rsidR="006330ED" w:rsidRPr="00906E09" w14:paraId="3F65A82F" w14:textId="77777777" w:rsidTr="00E54D7F">
        <w:trPr>
          <w:jc w:val="center"/>
        </w:trPr>
        <w:tc>
          <w:tcPr>
            <w:tcW w:w="1838" w:type="dxa"/>
            <w:vAlign w:val="center"/>
          </w:tcPr>
          <w:p w14:paraId="48F2DBDC" w14:textId="35A9AD3E" w:rsidR="006330ED" w:rsidRPr="00906E09" w:rsidRDefault="006330ED" w:rsidP="006330ED">
            <w:pPr>
              <w:spacing w:before="60" w:after="6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906E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  <w:lastRenderedPageBreak/>
              <w:t>Корисници / Апликанти</w:t>
            </w:r>
          </w:p>
        </w:tc>
        <w:tc>
          <w:tcPr>
            <w:tcW w:w="7512" w:type="dxa"/>
            <w:vAlign w:val="center"/>
          </w:tcPr>
          <w:p w14:paraId="6A545390" w14:textId="77777777" w:rsidR="006330ED" w:rsidRPr="00906E09" w:rsidRDefault="006330ED" w:rsidP="006330ED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Јавне/државне институције високог образовања</w:t>
            </w:r>
          </w:p>
          <w:p w14:paraId="4016A15D" w14:textId="77777777" w:rsidR="006330ED" w:rsidRPr="00906E09" w:rsidRDefault="006330ED" w:rsidP="006330ED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Стране организације - Non-domestic (non-U.S.) Entities (Foreign Organizations).</w:t>
            </w:r>
          </w:p>
          <w:p w14:paraId="27E9621D" w14:textId="3F3955C3" w:rsidR="006330ED" w:rsidRPr="00906E09" w:rsidRDefault="006330ED" w:rsidP="006330ED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МФУБ има неопходну регистрацију: </w:t>
            </w:r>
            <w:hyperlink r:id="rId5" w:history="1">
              <w:r w:rsidRPr="00906E09">
                <w:rPr>
                  <w:rFonts w:ascii="Tahoma" w:hAnsi="Tahoma" w:cs="Tahoma"/>
                  <w:sz w:val="18"/>
                  <w:szCs w:val="18"/>
                  <w:lang w:val="sr-Cyrl-RS"/>
                </w:rPr>
                <w:t>System for Award Management (SAM) –</w:t>
              </w:r>
            </w:hyperlink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</w:t>
            </w:r>
            <w:hyperlink r:id="rId6" w:history="1">
              <w:r w:rsidRPr="00906E09">
                <w:rPr>
                  <w:rFonts w:ascii="Tahoma" w:hAnsi="Tahoma" w:cs="Tahoma"/>
                  <w:sz w:val="18"/>
                  <w:szCs w:val="18"/>
                  <w:lang w:val="sr-Cyrl-RS"/>
                </w:rPr>
                <w:t>NATO Commercial and Government Entity (NCAGE) Code</w:t>
              </w:r>
            </w:hyperlink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, Unique Entity Identifier (UEI), </w:t>
            </w:r>
            <w:hyperlink r:id="rId7" w:history="1">
              <w:r w:rsidRPr="00906E09">
                <w:rPr>
                  <w:rFonts w:ascii="Tahoma" w:hAnsi="Tahoma" w:cs="Tahoma"/>
                  <w:sz w:val="18"/>
                  <w:szCs w:val="18"/>
                  <w:lang w:val="sr-Cyrl-RS"/>
                </w:rPr>
                <w:t>eRA Commons</w:t>
              </w:r>
            </w:hyperlink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, </w:t>
            </w:r>
            <w:hyperlink r:id="rId8" w:history="1">
              <w:r w:rsidRPr="00906E09">
                <w:rPr>
                  <w:rFonts w:ascii="Tahoma" w:hAnsi="Tahoma" w:cs="Tahoma"/>
                  <w:sz w:val="18"/>
                  <w:szCs w:val="18"/>
                  <w:lang w:val="sr-Cyrl-RS"/>
                </w:rPr>
                <w:t>Grants.gov</w:t>
              </w:r>
            </w:hyperlink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.</w:t>
            </w:r>
          </w:p>
        </w:tc>
      </w:tr>
      <w:tr w:rsidR="00597E9F" w:rsidRPr="00906E09" w14:paraId="0F11992D" w14:textId="77777777" w:rsidTr="00E54D7F">
        <w:trPr>
          <w:jc w:val="center"/>
        </w:trPr>
        <w:tc>
          <w:tcPr>
            <w:tcW w:w="1838" w:type="dxa"/>
            <w:vAlign w:val="center"/>
          </w:tcPr>
          <w:p w14:paraId="783E64CE" w14:textId="3B79AB00" w:rsidR="00597E9F" w:rsidRPr="00906E09" w:rsidRDefault="00597E9F" w:rsidP="007C44F9">
            <w:pPr>
              <w:spacing w:before="60" w:after="60"/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r-Cyrl-RS"/>
              </w:rPr>
            </w:pPr>
            <w:r w:rsidRPr="00906E09">
              <w:rPr>
                <w:rFonts w:ascii="Tahoma" w:eastAsia="Times New Roman" w:hAnsi="Tahoma" w:cs="Tahoma"/>
                <w:b/>
                <w:bCs/>
                <w:sz w:val="18"/>
                <w:szCs w:val="18"/>
                <w:lang w:val="sr-Cyrl-RS"/>
              </w:rPr>
              <w:t>Вредност гранта</w:t>
            </w:r>
          </w:p>
        </w:tc>
        <w:tc>
          <w:tcPr>
            <w:tcW w:w="7512" w:type="dxa"/>
            <w:vAlign w:val="center"/>
          </w:tcPr>
          <w:p w14:paraId="75D2073C" w14:textId="517F688D" w:rsidR="009114B0" w:rsidRPr="00906E09" w:rsidRDefault="009114B0" w:rsidP="00D81EB4">
            <w:pPr>
              <w:spacing w:before="60" w:after="60"/>
              <w:rPr>
                <w:rFonts w:ascii="Tahoma" w:hAnsi="Tahoma" w:cs="Tahoma"/>
                <w:color w:val="FF0000"/>
                <w:sz w:val="18"/>
                <w:szCs w:val="18"/>
                <w:lang w:val="sr-Cyrl-RS"/>
              </w:rPr>
            </w:pP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Буџети за апликације нису ограничени, већ морају одражавати стварне потребе предложеног пројекта.</w:t>
            </w:r>
          </w:p>
          <w:p w14:paraId="156C7572" w14:textId="77777777" w:rsidR="009114B0" w:rsidRPr="00562607" w:rsidRDefault="009114B0" w:rsidP="009114B0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562607">
              <w:rPr>
                <w:rFonts w:ascii="Tahoma" w:hAnsi="Tahoma" w:cs="Tahoma"/>
                <w:sz w:val="18"/>
                <w:szCs w:val="18"/>
                <w:lang w:val="sr-Cyrl-RS"/>
              </w:rPr>
              <w:t>Кандидати који захтевају 500.000 УСД или више директних трошкова у било којој години морају контактирати контакт за научна/истраживачка питања најмање 6 недеља пре подношења пријаве и придржавати се Смерница о прихватању прегледа нежељених апликација које захтевају 500.000 УСД или више директних трошкова (the Policy on the Acceptance for Review of Unsolicited Applications that Request $500,000 or More in Direct Costs) као што је описано у Водичу за пријаву</w:t>
            </w:r>
            <w:r w:rsidRPr="0056260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62607">
              <w:rPr>
                <w:rFonts w:ascii="Tahoma" w:hAnsi="Tahoma" w:cs="Tahoma"/>
                <w:sz w:val="18"/>
                <w:szCs w:val="18"/>
                <w:lang w:val="sr-Cyrl-RS"/>
              </w:rPr>
              <w:t>(SF424 (R&amp;R) Application Guide).</w:t>
            </w:r>
          </w:p>
          <w:p w14:paraId="0CAE2016" w14:textId="2EA472BA" w:rsidR="00597E9F" w:rsidRPr="00906E09" w:rsidRDefault="00813F11" w:rsidP="00D81EB4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Максимални период трајања пројекта је 5 година.</w:t>
            </w:r>
          </w:p>
        </w:tc>
      </w:tr>
      <w:tr w:rsidR="00597E9F" w:rsidRPr="00906E09" w14:paraId="43821F08" w14:textId="77777777" w:rsidTr="00E54D7F">
        <w:trPr>
          <w:jc w:val="center"/>
        </w:trPr>
        <w:tc>
          <w:tcPr>
            <w:tcW w:w="1838" w:type="dxa"/>
            <w:vAlign w:val="center"/>
          </w:tcPr>
          <w:p w14:paraId="27AB63DA" w14:textId="3679842B" w:rsidR="00597E9F" w:rsidRPr="00906E09" w:rsidRDefault="008814BA" w:rsidP="007C44F9">
            <w:pPr>
              <w:spacing w:before="60" w:after="6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906E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  <w:t>Линк ка д</w:t>
            </w:r>
            <w:r w:rsidR="00597E9F" w:rsidRPr="00906E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  <w:t>окументациј</w:t>
            </w:r>
            <w:r w:rsidRPr="00906E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  <w:t>и</w:t>
            </w:r>
          </w:p>
        </w:tc>
        <w:tc>
          <w:tcPr>
            <w:tcW w:w="7512" w:type="dxa"/>
            <w:vAlign w:val="center"/>
          </w:tcPr>
          <w:p w14:paraId="212C5AA5" w14:textId="75F5E4DE" w:rsidR="00906E09" w:rsidRPr="00906E09" w:rsidRDefault="00906E09" w:rsidP="00C229C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hyperlink r:id="rId9" w:history="1">
              <w:r w:rsidRPr="00906E09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https://grants.nih.gov/grants/guide/pa-files/PAR-25-213.html</w:t>
              </w:r>
            </w:hyperlink>
          </w:p>
          <w:p w14:paraId="752264CE" w14:textId="76FB48FF" w:rsidR="00D114BB" w:rsidRPr="00906E09" w:rsidRDefault="00D114BB" w:rsidP="00C229CF">
            <w:pPr>
              <w:spacing w:before="60" w:after="60"/>
              <w:rPr>
                <w:rStyle w:val="Hyperlink"/>
                <w:rFonts w:ascii="Tahoma" w:hAnsi="Tahoma" w:cs="Tahoma"/>
                <w:sz w:val="18"/>
                <w:szCs w:val="18"/>
              </w:rPr>
            </w:pPr>
            <w:r w:rsidRPr="00906E09">
              <w:rPr>
                <w:rStyle w:val="Hyperlink"/>
                <w:rFonts w:ascii="Tahoma" w:hAnsi="Tahoma" w:cs="Tahoma"/>
                <w:sz w:val="18"/>
                <w:szCs w:val="18"/>
              </w:rPr>
              <w:t>https://grants.nih.gov/grants/how-to-apply-application-guide/forms-i/research-forms-i.pdf</w:t>
            </w:r>
          </w:p>
        </w:tc>
      </w:tr>
      <w:tr w:rsidR="00597E9F" w:rsidRPr="00906E09" w14:paraId="6B6C9F85" w14:textId="77777777" w:rsidTr="00E54D7F">
        <w:trPr>
          <w:jc w:val="center"/>
        </w:trPr>
        <w:tc>
          <w:tcPr>
            <w:tcW w:w="1838" w:type="dxa"/>
            <w:vAlign w:val="center"/>
          </w:tcPr>
          <w:p w14:paraId="730A6D36" w14:textId="0D01BE9C" w:rsidR="00597E9F" w:rsidRPr="00906E09" w:rsidRDefault="00597E9F" w:rsidP="007C44F9">
            <w:pPr>
              <w:spacing w:before="60" w:after="6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906E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  <w:t>Рок за пријаву</w:t>
            </w:r>
          </w:p>
        </w:tc>
        <w:tc>
          <w:tcPr>
            <w:tcW w:w="7512" w:type="dxa"/>
            <w:vAlign w:val="center"/>
          </w:tcPr>
          <w:p w14:paraId="046012BF" w14:textId="77777777" w:rsidR="0078364F" w:rsidRDefault="0078364F" w:rsidP="0078364F">
            <w:pPr>
              <w:spacing w:before="60" w:after="60"/>
              <w:rPr>
                <w:rFonts w:ascii="Tahoma" w:hAnsi="Tahoma" w:cs="Tahoma"/>
                <w:sz w:val="18"/>
                <w:szCs w:val="18"/>
              </w:rPr>
            </w:pP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Рок за Писмо о намерама: 30 дана пре рока за подношење пријаве</w:t>
            </w:r>
            <w:r w:rsidRPr="00906E09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на адресу</w:t>
            </w:r>
            <w:r w:rsidRPr="00906E09">
              <w:rPr>
                <w:rFonts w:ascii="Tahoma" w:hAnsi="Tahoma" w:cs="Tahoma"/>
                <w:sz w:val="18"/>
                <w:szCs w:val="18"/>
              </w:rPr>
              <w:t xml:space="preserve"> Brad Newsome, Ph.D.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,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телефон</w:t>
            </w:r>
            <w:r w:rsidRPr="00906E09">
              <w:rPr>
                <w:rFonts w:ascii="Tahoma" w:hAnsi="Tahoma" w:cs="Tahoma"/>
                <w:sz w:val="18"/>
                <w:szCs w:val="18"/>
              </w:rPr>
              <w:t>: 301-480-8389</w:t>
            </w:r>
            <w:r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, </w:t>
            </w:r>
            <w:r w:rsidRPr="00906E09">
              <w:rPr>
                <w:rFonts w:ascii="Tahoma" w:hAnsi="Tahoma" w:cs="Tahoma"/>
                <w:sz w:val="18"/>
                <w:szCs w:val="18"/>
              </w:rPr>
              <w:t xml:space="preserve">Email: </w:t>
            </w:r>
            <w:hyperlink r:id="rId10" w:history="1">
              <w:r w:rsidRPr="00B4372A">
                <w:rPr>
                  <w:rStyle w:val="Hyperlink"/>
                  <w:rFonts w:ascii="Tahoma" w:hAnsi="Tahoma" w:cs="Tahoma"/>
                  <w:sz w:val="18"/>
                  <w:szCs w:val="18"/>
                </w:rPr>
                <w:t>brad.newsome@nih.gov</w:t>
              </w:r>
            </w:hyperlink>
          </w:p>
          <w:p w14:paraId="5837F19E" w14:textId="77777777" w:rsidR="0078364F" w:rsidRDefault="00AF37E8" w:rsidP="007C44F9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Рок за пријаву: </w:t>
            </w:r>
            <w:r w:rsidR="00813F11" w:rsidRPr="00906E09">
              <w:rPr>
                <w:rFonts w:ascii="Tahoma" w:hAnsi="Tahoma" w:cs="Tahoma"/>
                <w:sz w:val="18"/>
                <w:szCs w:val="18"/>
              </w:rPr>
              <w:t>0</w:t>
            </w:r>
            <w:r w:rsidR="009114B0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5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. </w:t>
            </w:r>
            <w:r w:rsidR="009114B0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новембар</w:t>
            </w:r>
            <w:r w:rsidR="00D81EB4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202</w:t>
            </w:r>
            <w:r w:rsidR="00A933A2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5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. године</w:t>
            </w:r>
            <w:r w:rsidR="00A933A2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.</w:t>
            </w:r>
          </w:p>
          <w:p w14:paraId="720CAD98" w14:textId="74BBD777" w:rsidR="009114B0" w:rsidRPr="0078364F" w:rsidRDefault="0078364F" w:rsidP="0078364F">
            <w:pPr>
              <w:spacing w:before="60" w:after="60"/>
              <w:rPr>
                <w:rFonts w:ascii="Tahoma" w:hAnsi="Tahoma" w:cs="Tahoma"/>
                <w:sz w:val="18"/>
                <w:szCs w:val="18"/>
                <w:lang w:val="sr-Cyrl-RS"/>
              </w:rPr>
            </w:pP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З</w:t>
            </w:r>
            <w:r w:rsidRPr="00906E09">
              <w:rPr>
                <w:rFonts w:ascii="Tahoma" w:hAnsi="Tahoma" w:cs="Tahoma"/>
                <w:sz w:val="18"/>
                <w:szCs w:val="18"/>
              </w:rPr>
              <w:t>a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апликације у области </w:t>
            </w:r>
            <w:r w:rsidRPr="00906E09">
              <w:rPr>
                <w:rFonts w:ascii="Tahoma" w:hAnsi="Tahoma" w:cs="Tahoma"/>
                <w:sz w:val="18"/>
                <w:szCs w:val="18"/>
              </w:rPr>
              <w:t>AIDS-a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 рокови су 07. мај 2025. и 07. јануар 2028. године</w:t>
            </w:r>
          </w:p>
        </w:tc>
      </w:tr>
      <w:tr w:rsidR="008814BA" w:rsidRPr="00906E09" w14:paraId="15711CF5" w14:textId="77777777" w:rsidTr="00D81EB4">
        <w:trPr>
          <w:trHeight w:val="491"/>
          <w:jc w:val="center"/>
        </w:trPr>
        <w:tc>
          <w:tcPr>
            <w:tcW w:w="1838" w:type="dxa"/>
            <w:vAlign w:val="center"/>
          </w:tcPr>
          <w:p w14:paraId="4D0456DA" w14:textId="2C600EA6" w:rsidR="008814BA" w:rsidRPr="00906E09" w:rsidRDefault="008814BA" w:rsidP="007C44F9">
            <w:pPr>
              <w:spacing w:before="60" w:after="60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906E0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val="sr-Cyrl-RS"/>
              </w:rPr>
              <w:t>Контакт</w:t>
            </w:r>
          </w:p>
        </w:tc>
        <w:tc>
          <w:tcPr>
            <w:tcW w:w="7512" w:type="dxa"/>
            <w:vAlign w:val="center"/>
          </w:tcPr>
          <w:p w14:paraId="3A84D877" w14:textId="36E72385" w:rsidR="00825AC6" w:rsidRPr="00906E09" w:rsidRDefault="003F78A6" w:rsidP="00E316CF">
            <w:pPr>
              <w:spacing w:before="60" w:after="60"/>
              <w:rPr>
                <w:rStyle w:val="Hyperlink"/>
                <w:rFonts w:ascii="Tahoma" w:hAnsi="Tahoma" w:cs="Tahoma"/>
                <w:color w:val="auto"/>
                <w:sz w:val="18"/>
                <w:szCs w:val="18"/>
                <w:u w:val="none"/>
                <w:lang w:val="sr-Cyrl-RS"/>
              </w:rPr>
            </w:pPr>
            <w:r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За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FIC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 xml:space="preserve">,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NEI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 xml:space="preserve">,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NHLBI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 xml:space="preserve">,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NIA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 xml:space="preserve">,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NICHD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 xml:space="preserve">,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NIMH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 xml:space="preserve">,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NINDS</w:t>
            </w:r>
            <w:r w:rsidRPr="00906E09">
              <w:rPr>
                <w:rFonts w:ascii="Tahoma" w:hAnsi="Tahoma" w:cs="Tahoma"/>
                <w:sz w:val="18"/>
                <w:szCs w:val="18"/>
                <w:lang w:val="sr-Latn-RS"/>
              </w:rPr>
              <w:t xml:space="preserve">, </w:t>
            </w:r>
            <w:r w:rsidRPr="00906E09">
              <w:rPr>
                <w:rFonts w:ascii="Tahoma" w:hAnsi="Tahoma" w:cs="Tahoma"/>
                <w:sz w:val="18"/>
                <w:szCs w:val="18"/>
                <w:lang w:val="sr-Cyrl-RS"/>
              </w:rPr>
              <w:t>NCI</w:t>
            </w:r>
            <w:r w:rsidR="00D114BB" w:rsidRPr="00906E09">
              <w:rPr>
                <w:rFonts w:ascii="Tahoma" w:hAnsi="Tahoma" w:cs="Tahoma"/>
                <w:sz w:val="18"/>
                <w:szCs w:val="18"/>
                <w:lang w:val="sr-Cyrl-RS"/>
              </w:rPr>
              <w:t xml:space="preserve">: </w:t>
            </w:r>
            <w:hyperlink r:id="rId11" w:history="1">
              <w:r w:rsidRPr="00B4372A">
                <w:rPr>
                  <w:rStyle w:val="Hyperlink"/>
                  <w:rFonts w:ascii="Tahoma" w:hAnsi="Tahoma" w:cs="Tahoma"/>
                  <w:sz w:val="18"/>
                  <w:szCs w:val="18"/>
                  <w:lang w:val="sr-Cyrl-RS"/>
                </w:rPr>
                <w:t>https://grants.nih.gov/grants/guide/pa-files/PAR-25-213.html#_Section%20VII.%20Agency%20Contacts</w:t>
              </w:r>
            </w:hyperlink>
          </w:p>
        </w:tc>
      </w:tr>
    </w:tbl>
    <w:p w14:paraId="3B0A59E6" w14:textId="25A11089" w:rsidR="009A5707" w:rsidRPr="00906E09" w:rsidRDefault="009A5707" w:rsidP="0002795B">
      <w:pPr>
        <w:rPr>
          <w:rFonts w:ascii="Tahoma" w:hAnsi="Tahoma" w:cs="Tahoma"/>
          <w:sz w:val="18"/>
          <w:szCs w:val="18"/>
          <w:lang w:val="sr-Cyrl-RS"/>
        </w:rPr>
      </w:pPr>
    </w:p>
    <w:sectPr w:rsidR="009A5707" w:rsidRPr="00906E09" w:rsidSect="00E316CF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C6DB9"/>
    <w:multiLevelType w:val="hybridMultilevel"/>
    <w:tmpl w:val="7DCA185A"/>
    <w:lvl w:ilvl="0" w:tplc="E870B5DE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18"/>
    <w:rsid w:val="0002795B"/>
    <w:rsid w:val="00071ED7"/>
    <w:rsid w:val="00124FE2"/>
    <w:rsid w:val="00182C45"/>
    <w:rsid w:val="00184EF4"/>
    <w:rsid w:val="001A4500"/>
    <w:rsid w:val="001A7F82"/>
    <w:rsid w:val="00274B1E"/>
    <w:rsid w:val="0029076D"/>
    <w:rsid w:val="002A3A18"/>
    <w:rsid w:val="002B589B"/>
    <w:rsid w:val="002E12D7"/>
    <w:rsid w:val="002F10E1"/>
    <w:rsid w:val="002F2070"/>
    <w:rsid w:val="00331607"/>
    <w:rsid w:val="003370C4"/>
    <w:rsid w:val="00351F87"/>
    <w:rsid w:val="00364F03"/>
    <w:rsid w:val="00393446"/>
    <w:rsid w:val="003E3504"/>
    <w:rsid w:val="003F78A6"/>
    <w:rsid w:val="00425201"/>
    <w:rsid w:val="00465A7C"/>
    <w:rsid w:val="00546178"/>
    <w:rsid w:val="00562607"/>
    <w:rsid w:val="00597E9F"/>
    <w:rsid w:val="00613F55"/>
    <w:rsid w:val="006330ED"/>
    <w:rsid w:val="00647AF9"/>
    <w:rsid w:val="00651C56"/>
    <w:rsid w:val="00684A0D"/>
    <w:rsid w:val="00697742"/>
    <w:rsid w:val="00732744"/>
    <w:rsid w:val="00751023"/>
    <w:rsid w:val="0078364F"/>
    <w:rsid w:val="00797FD2"/>
    <w:rsid w:val="007C44F9"/>
    <w:rsid w:val="007F2FD0"/>
    <w:rsid w:val="00813F11"/>
    <w:rsid w:val="00825AC6"/>
    <w:rsid w:val="008579A9"/>
    <w:rsid w:val="0086754B"/>
    <w:rsid w:val="0087391B"/>
    <w:rsid w:val="00876158"/>
    <w:rsid w:val="008814BA"/>
    <w:rsid w:val="008D273E"/>
    <w:rsid w:val="00906E09"/>
    <w:rsid w:val="009114B0"/>
    <w:rsid w:val="009837D0"/>
    <w:rsid w:val="009A5707"/>
    <w:rsid w:val="009A6EA8"/>
    <w:rsid w:val="009E7995"/>
    <w:rsid w:val="00A40B96"/>
    <w:rsid w:val="00A8720C"/>
    <w:rsid w:val="00A933A2"/>
    <w:rsid w:val="00AE182D"/>
    <w:rsid w:val="00AF076E"/>
    <w:rsid w:val="00AF37E8"/>
    <w:rsid w:val="00AF6BD3"/>
    <w:rsid w:val="00B0168A"/>
    <w:rsid w:val="00B85573"/>
    <w:rsid w:val="00B9639E"/>
    <w:rsid w:val="00BD7D4E"/>
    <w:rsid w:val="00C229CF"/>
    <w:rsid w:val="00CE7A24"/>
    <w:rsid w:val="00D114BB"/>
    <w:rsid w:val="00D203A8"/>
    <w:rsid w:val="00D26E06"/>
    <w:rsid w:val="00D70DE0"/>
    <w:rsid w:val="00D81EB4"/>
    <w:rsid w:val="00DB2328"/>
    <w:rsid w:val="00E0296C"/>
    <w:rsid w:val="00E06001"/>
    <w:rsid w:val="00E07751"/>
    <w:rsid w:val="00E225AF"/>
    <w:rsid w:val="00E316CF"/>
    <w:rsid w:val="00E54D7F"/>
    <w:rsid w:val="00E9792F"/>
    <w:rsid w:val="00F31577"/>
    <w:rsid w:val="00F70082"/>
    <w:rsid w:val="00F738AA"/>
    <w:rsid w:val="00F800F8"/>
    <w:rsid w:val="00F923E4"/>
    <w:rsid w:val="00FD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61BB"/>
  <w15:chartTrackingRefBased/>
  <w15:docId w15:val="{CF94B603-B25E-49D6-913B-CAABA996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A5707"/>
    <w:rPr>
      <w:b/>
      <w:bCs/>
    </w:rPr>
  </w:style>
  <w:style w:type="character" w:styleId="Hyperlink">
    <w:name w:val="Hyperlink"/>
    <w:basedOn w:val="DefaultParagraphFont"/>
    <w:uiPriority w:val="99"/>
    <w:unhideWhenUsed/>
    <w:rsid w:val="007327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7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5A7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grants/guide/url_redirect.php?id=823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rants.nih.gov/grants/guide/url_redirect.php?id=1112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ts.nih.gov/grants/guide/url_redirect.php?id=11176" TargetMode="External"/><Relationship Id="rId11" Type="http://schemas.openxmlformats.org/officeDocument/2006/relationships/hyperlink" Target="https://grants.nih.gov/grants/guide/pa-files/PAR-25-213.html#_Section%20VII.%20Agency%20Contacts" TargetMode="External"/><Relationship Id="rId5" Type="http://schemas.openxmlformats.org/officeDocument/2006/relationships/hyperlink" Target="https://grants.nih.gov/grants/guide/url_redirect.php?id=82390" TargetMode="External"/><Relationship Id="rId10" Type="http://schemas.openxmlformats.org/officeDocument/2006/relationships/hyperlink" Target="mailto:brad.newsome@nih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nts.nih.gov/grants/guide/pa-files/PAR-25-2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dcterms:created xsi:type="dcterms:W3CDTF">2024-11-12T11:56:00Z</dcterms:created>
  <dcterms:modified xsi:type="dcterms:W3CDTF">2025-03-17T11:14:00Z</dcterms:modified>
</cp:coreProperties>
</file>